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55DD163A" w14:textId="11B31C2A" w:rsidR="00BA69FC" w:rsidRPr="00B12508" w:rsidRDefault="00B62240" w:rsidP="00E86C51">
      <w:pPr>
        <w:pStyle w:val="Heading1"/>
      </w:pPr>
      <w:r w:rsidRPr="00B12508">
        <w:t xml:space="preserve">Exporter Supply Chain </w:t>
      </w:r>
      <w:r w:rsidRPr="00E86C51">
        <w:t>Assurance</w:t>
      </w:r>
      <w:r w:rsidRPr="00B12508">
        <w:t xml:space="preserve"> System </w:t>
      </w:r>
      <w:r w:rsidR="00A71890">
        <w:t>(ESCAS)</w:t>
      </w:r>
    </w:p>
    <w:p w14:paraId="40D2C3DA" w14:textId="47BFC397" w:rsidR="007E07C8" w:rsidRPr="007E07C8" w:rsidRDefault="00B62240" w:rsidP="007E07C8">
      <w:pPr>
        <w:rPr>
          <w:lang w:val="en" w:eastAsia="ja-JP"/>
        </w:rPr>
      </w:pPr>
      <w:r w:rsidRPr="008C50F6">
        <w:rPr>
          <w:rFonts w:asciiTheme="minorHAnsi" w:hAnsiTheme="minorHAnsi"/>
          <w:sz w:val="24"/>
          <w:szCs w:val="24"/>
          <w:lang w:val="en" w:eastAsia="ja-JP"/>
        </w:rPr>
        <w:t>T</w:t>
      </w:r>
      <w:r w:rsidR="007E07C8" w:rsidRPr="008C50F6">
        <w:rPr>
          <w:rFonts w:asciiTheme="minorHAnsi" w:hAnsiTheme="minorHAnsi"/>
          <w:sz w:val="24"/>
          <w:szCs w:val="24"/>
          <w:lang w:val="en" w:eastAsia="ja-JP"/>
        </w:rPr>
        <w:t>he Inspector-General of Live Animal Exports (IGLAE) is undertaking a review</w:t>
      </w:r>
      <w:r w:rsidR="007E07C8" w:rsidRPr="007E07C8">
        <w:rPr>
          <w:lang w:val="en" w:eastAsia="ja-JP"/>
        </w:rPr>
        <w:t xml:space="preserve"> </w:t>
      </w:r>
      <w:r w:rsidR="008C50F6" w:rsidRPr="008C50F6">
        <w:rPr>
          <w:rFonts w:ascii="Calibri" w:eastAsia="Times New Roman" w:hAnsi="Calibri"/>
          <w:sz w:val="24"/>
          <w:szCs w:val="24"/>
          <w:lang w:val="en" w:eastAsia="en-AU"/>
        </w:rPr>
        <w:t xml:space="preserve">to examine the processes and systems that support the </w:t>
      </w:r>
      <w:r w:rsidR="008C50F6">
        <w:rPr>
          <w:rFonts w:ascii="Calibri" w:eastAsia="Times New Roman" w:hAnsi="Calibri"/>
          <w:sz w:val="24"/>
          <w:szCs w:val="24"/>
          <w:lang w:val="en" w:eastAsia="en-AU"/>
        </w:rPr>
        <w:t>D</w:t>
      </w:r>
      <w:r w:rsidR="008C50F6" w:rsidRPr="008C50F6">
        <w:rPr>
          <w:rFonts w:ascii="Calibri" w:eastAsia="Times New Roman" w:hAnsi="Calibri"/>
          <w:sz w:val="24"/>
          <w:szCs w:val="24"/>
          <w:lang w:val="en" w:eastAsia="en-AU"/>
        </w:rPr>
        <w:t>epartment</w:t>
      </w:r>
      <w:r w:rsidR="008C50F6">
        <w:rPr>
          <w:rFonts w:ascii="Calibri" w:eastAsia="Times New Roman" w:hAnsi="Calibri"/>
          <w:sz w:val="24"/>
          <w:szCs w:val="24"/>
          <w:lang w:val="en" w:eastAsia="en-AU"/>
        </w:rPr>
        <w:t xml:space="preserve"> of Agriculture, Water and the Environment’s</w:t>
      </w:r>
      <w:r w:rsidR="008C50F6" w:rsidRPr="008C50F6">
        <w:rPr>
          <w:rFonts w:ascii="Calibri" w:eastAsia="Times New Roman" w:hAnsi="Calibri"/>
          <w:sz w:val="24"/>
          <w:szCs w:val="24"/>
          <w:lang w:val="en" w:eastAsia="en-AU"/>
        </w:rPr>
        <w:t xml:space="preserve"> </w:t>
      </w:r>
      <w:r w:rsidR="00EC07EB">
        <w:rPr>
          <w:rFonts w:ascii="Calibri" w:eastAsia="Times New Roman" w:hAnsi="Calibri"/>
          <w:sz w:val="24"/>
          <w:szCs w:val="24"/>
          <w:lang w:val="en" w:eastAsia="en-AU"/>
        </w:rPr>
        <w:t xml:space="preserve">(the department) </w:t>
      </w:r>
      <w:r w:rsidR="008C50F6" w:rsidRPr="008C50F6">
        <w:rPr>
          <w:rFonts w:ascii="Calibri" w:eastAsia="Times New Roman" w:hAnsi="Calibri"/>
          <w:sz w:val="24"/>
          <w:szCs w:val="24"/>
          <w:lang w:val="en" w:eastAsia="en-AU"/>
        </w:rPr>
        <w:t xml:space="preserve">decision-making regarding approvals, monitoring, reporting, compliance and responsive actions undertaken towards industry exporting livestock through the </w:t>
      </w:r>
      <w:r w:rsidR="00A71890">
        <w:rPr>
          <w:rFonts w:ascii="Calibri" w:eastAsia="Times New Roman" w:hAnsi="Calibri"/>
          <w:sz w:val="24"/>
          <w:szCs w:val="24"/>
          <w:lang w:val="en" w:eastAsia="en-AU"/>
        </w:rPr>
        <w:t>Exporter Supply Chain Assurance System (</w:t>
      </w:r>
      <w:r w:rsidR="008C50F6" w:rsidRPr="008C50F6">
        <w:rPr>
          <w:rFonts w:ascii="Calibri" w:eastAsia="Times New Roman" w:hAnsi="Calibri"/>
          <w:sz w:val="24"/>
          <w:szCs w:val="24"/>
          <w:lang w:val="en" w:eastAsia="en-AU"/>
        </w:rPr>
        <w:t>ESCAS</w:t>
      </w:r>
      <w:r w:rsidR="00A71890">
        <w:rPr>
          <w:rFonts w:ascii="Calibri" w:eastAsia="Times New Roman" w:hAnsi="Calibri"/>
          <w:sz w:val="24"/>
          <w:szCs w:val="24"/>
          <w:lang w:val="en" w:eastAsia="en-AU"/>
        </w:rPr>
        <w:t>)</w:t>
      </w:r>
      <w:r w:rsidR="008C50F6" w:rsidRPr="008C50F6">
        <w:rPr>
          <w:rFonts w:ascii="Calibri" w:eastAsia="Times New Roman" w:hAnsi="Calibri"/>
          <w:sz w:val="24"/>
          <w:szCs w:val="24"/>
          <w:lang w:val="en" w:eastAsia="en-AU"/>
        </w:rPr>
        <w:t>.</w:t>
      </w:r>
    </w:p>
    <w:p w14:paraId="7928FAD8" w14:textId="2D5FC11D" w:rsidR="007E07C8" w:rsidRDefault="008C50F6" w:rsidP="007E07C8">
      <w:pPr>
        <w:rPr>
          <w:rFonts w:ascii="Calibri" w:eastAsia="Times New Roman" w:hAnsi="Calibri"/>
          <w:sz w:val="24"/>
          <w:lang w:val="en" w:eastAsia="en-AU"/>
        </w:rPr>
      </w:pPr>
      <w:r w:rsidRPr="008C50F6">
        <w:rPr>
          <w:rFonts w:ascii="Calibri" w:eastAsia="Times New Roman" w:hAnsi="Calibri"/>
          <w:sz w:val="24"/>
          <w:lang w:val="en" w:eastAsia="en-AU"/>
        </w:rPr>
        <w:t xml:space="preserve">The ESCAS is a supply chain assurance framework system requiring </w:t>
      </w:r>
      <w:r w:rsidRPr="008C50F6">
        <w:rPr>
          <w:rFonts w:ascii="Calibri" w:eastAsia="Times New Roman" w:hAnsi="Calibri"/>
          <w:sz w:val="24"/>
          <w:szCs w:val="24"/>
          <w:lang w:val="en" w:eastAsia="en-AU"/>
        </w:rPr>
        <w:t>industry to have commercial arrangements with supply chain partners that</w:t>
      </w:r>
      <w:r w:rsidRPr="008C50F6">
        <w:rPr>
          <w:rFonts w:ascii="Calibri" w:eastAsia="Times New Roman" w:hAnsi="Calibri"/>
          <w:sz w:val="24"/>
          <w:lang w:val="en" w:eastAsia="en-AU"/>
        </w:rPr>
        <w:t xml:space="preserve"> uphold</w:t>
      </w:r>
      <w:r w:rsidR="0044385C">
        <w:rPr>
          <w:rFonts w:ascii="Calibri" w:eastAsia="Times New Roman" w:hAnsi="Calibri"/>
          <w:sz w:val="24"/>
          <w:lang w:val="en" w:eastAsia="en-AU"/>
        </w:rPr>
        <w:t>s</w:t>
      </w:r>
      <w:r w:rsidRPr="008C50F6">
        <w:rPr>
          <w:rFonts w:ascii="Calibri" w:eastAsia="Times New Roman" w:hAnsi="Calibri"/>
          <w:sz w:val="24"/>
          <w:szCs w:val="24"/>
          <w:lang w:val="en" w:eastAsia="en-AU"/>
        </w:rPr>
        <w:t xml:space="preserve"> international </w:t>
      </w:r>
      <w:r w:rsidR="0044385C">
        <w:rPr>
          <w:rFonts w:ascii="Calibri" w:eastAsia="Times New Roman" w:hAnsi="Calibri"/>
          <w:sz w:val="24"/>
          <w:szCs w:val="24"/>
          <w:lang w:val="en" w:eastAsia="en-AU"/>
        </w:rPr>
        <w:t xml:space="preserve">World </w:t>
      </w:r>
      <w:proofErr w:type="spellStart"/>
      <w:r w:rsidR="0044385C">
        <w:rPr>
          <w:rFonts w:ascii="Calibri" w:eastAsia="Times New Roman" w:hAnsi="Calibri"/>
          <w:sz w:val="24"/>
          <w:szCs w:val="24"/>
          <w:lang w:val="en" w:eastAsia="en-AU"/>
        </w:rPr>
        <w:t>Organisation</w:t>
      </w:r>
      <w:proofErr w:type="spellEnd"/>
      <w:r w:rsidR="0044385C">
        <w:rPr>
          <w:rFonts w:ascii="Calibri" w:eastAsia="Times New Roman" w:hAnsi="Calibri"/>
          <w:sz w:val="24"/>
          <w:szCs w:val="24"/>
          <w:lang w:val="en" w:eastAsia="en-AU"/>
        </w:rPr>
        <w:t xml:space="preserve"> for Animal Health</w:t>
      </w:r>
      <w:r w:rsidR="00AE70EE">
        <w:rPr>
          <w:rFonts w:ascii="Calibri" w:eastAsia="Times New Roman" w:hAnsi="Calibri"/>
          <w:sz w:val="24"/>
          <w:szCs w:val="24"/>
          <w:lang w:val="en" w:eastAsia="en-AU"/>
        </w:rPr>
        <w:t xml:space="preserve"> (OIE)</w:t>
      </w:r>
      <w:r w:rsidR="0044385C">
        <w:rPr>
          <w:rFonts w:ascii="Calibri" w:eastAsia="Times New Roman" w:hAnsi="Calibri"/>
          <w:sz w:val="24"/>
          <w:szCs w:val="24"/>
          <w:lang w:val="en" w:eastAsia="en-AU"/>
        </w:rPr>
        <w:t xml:space="preserve"> </w:t>
      </w:r>
      <w:r w:rsidRPr="008C50F6">
        <w:rPr>
          <w:rFonts w:ascii="Calibri" w:eastAsia="Times New Roman" w:hAnsi="Calibri"/>
          <w:sz w:val="24"/>
          <w:lang w:val="en" w:eastAsia="en-AU"/>
        </w:rPr>
        <w:t>animal welfare standards for Australian livestock. ESCAS regulates animal welfare outcomes from the point of disembarkation in the importing country through to the point of slaughter.</w:t>
      </w:r>
    </w:p>
    <w:p w14:paraId="060BE162" w14:textId="77777777" w:rsidR="00EC07EB" w:rsidRPr="00EC07EB" w:rsidRDefault="00EC07EB" w:rsidP="00EC07EB">
      <w:pPr>
        <w:tabs>
          <w:tab w:val="left" w:pos="1708"/>
        </w:tabs>
        <w:rPr>
          <w:rFonts w:ascii="Calibri" w:eastAsia="Times New Roman" w:hAnsi="Calibri"/>
          <w:sz w:val="24"/>
          <w:szCs w:val="24"/>
          <w:lang w:val="en" w:eastAsia="en-AU"/>
        </w:rPr>
      </w:pPr>
      <w:r w:rsidRPr="00EC07EB">
        <w:rPr>
          <w:rFonts w:ascii="Calibri" w:eastAsia="Times New Roman" w:hAnsi="Calibri"/>
          <w:sz w:val="24"/>
          <w:szCs w:val="24"/>
          <w:lang w:val="en" w:eastAsia="en-AU"/>
        </w:rPr>
        <w:t xml:space="preserve">The consideration of upholding good animal welfare standards of Australian livestock are consistently at the forefront of the Australian public’s interest especially since the suspension of the live cattle trade to Indonesia on 8 June 2011.  </w:t>
      </w:r>
    </w:p>
    <w:p w14:paraId="10D21E5B" w14:textId="77777777" w:rsidR="00EC07EB" w:rsidRPr="00EC07EB" w:rsidRDefault="00EC07EB" w:rsidP="00EC07EB">
      <w:pPr>
        <w:tabs>
          <w:tab w:val="left" w:pos="1708"/>
        </w:tabs>
        <w:rPr>
          <w:rFonts w:ascii="Calibri" w:eastAsia="Times New Roman" w:hAnsi="Calibri"/>
          <w:sz w:val="24"/>
          <w:lang w:val="en" w:eastAsia="en-AU"/>
        </w:rPr>
      </w:pPr>
      <w:r w:rsidRPr="00EC07EB">
        <w:rPr>
          <w:rFonts w:ascii="Calibri" w:eastAsia="Times New Roman" w:hAnsi="Calibri"/>
          <w:sz w:val="24"/>
          <w:lang w:val="en" w:eastAsia="en-AU"/>
        </w:rPr>
        <w:t xml:space="preserve">Exporters must maintain control and traceability of livestock along the supply chain. Facilities within the supply chain need to be independently audited according to the department’s requirements. Exporters are required to provide the department with an end of processing report and an independent performance audit report. </w:t>
      </w:r>
    </w:p>
    <w:p w14:paraId="0725F41E" w14:textId="67E353E9" w:rsidR="00EC07EB" w:rsidRDefault="00EC07EB" w:rsidP="00EC07EB">
      <w:pPr>
        <w:rPr>
          <w:rFonts w:ascii="Calibri" w:eastAsia="Times New Roman" w:hAnsi="Calibri"/>
          <w:sz w:val="24"/>
          <w:lang w:val="en" w:eastAsia="en-AU"/>
        </w:rPr>
      </w:pPr>
      <w:r w:rsidRPr="00EC07EB">
        <w:rPr>
          <w:rFonts w:ascii="Calibri" w:eastAsia="Times New Roman" w:hAnsi="Calibri"/>
          <w:sz w:val="24"/>
          <w:lang w:val="en" w:eastAsia="en-AU"/>
        </w:rPr>
        <w:t>Any non-compliance reported along the supply chain is investigated by the department. All ESCAS performance reports are published on the department’s website (following completion of any investigations).</w:t>
      </w:r>
    </w:p>
    <w:p w14:paraId="78E41CEE" w14:textId="6236CA39" w:rsidR="00D73D50" w:rsidRPr="00D73D50" w:rsidRDefault="00D73D50" w:rsidP="00E86C51">
      <w:pPr>
        <w:pStyle w:val="Heading2"/>
      </w:pPr>
      <w:r w:rsidRPr="00D73D50">
        <w:t xml:space="preserve">In </w:t>
      </w:r>
      <w:r w:rsidRPr="00E86C51">
        <w:t>scope</w:t>
      </w:r>
    </w:p>
    <w:p w14:paraId="0CE26C88" w14:textId="77777777" w:rsidR="00EC07EB" w:rsidRPr="00EC07EB" w:rsidRDefault="00EC07EB" w:rsidP="00EC07EB">
      <w:pPr>
        <w:spacing w:before="0" w:after="160" w:line="259" w:lineRule="auto"/>
        <w:rPr>
          <w:rFonts w:ascii="Calibri" w:eastAsia="Times New Roman" w:hAnsi="Calibri"/>
          <w:lang w:val="en" w:eastAsia="en-AU"/>
        </w:rPr>
      </w:pPr>
      <w:r w:rsidRPr="00EC07EB">
        <w:rPr>
          <w:rFonts w:ascii="Calibri" w:eastAsia="Times New Roman" w:hAnsi="Calibri"/>
          <w:sz w:val="24"/>
          <w:szCs w:val="24"/>
          <w:lang w:eastAsia="en-AU"/>
        </w:rPr>
        <w:t>The scope of this review covers the department’s systems and processes for implementation of the ESCAS system, and will consider:</w:t>
      </w:r>
    </w:p>
    <w:p w14:paraId="656A5587" w14:textId="77777777"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hAnsi="Calibri"/>
          <w:sz w:val="24"/>
          <w:szCs w:val="24"/>
          <w:lang w:val="en" w:eastAsia="en-AU"/>
        </w:rPr>
        <w:t>the supply chain movement of Australian feeder and slaughter livestock being exported from the point of disembarkation through to the point of slaughter in an overseas country</w:t>
      </w:r>
    </w:p>
    <w:p w14:paraId="3B5FF7C1" w14:textId="77777777"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eastAsia="Times New Roman" w:hAnsi="Calibri"/>
          <w:sz w:val="24"/>
          <w:szCs w:val="24"/>
          <w:lang w:val="en" w:eastAsia="en-AU"/>
        </w:rPr>
        <w:t>the ESCAS approval process, including variations</w:t>
      </w:r>
    </w:p>
    <w:p w14:paraId="6BB08D8A" w14:textId="52430056"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eastAsia="Times New Roman" w:hAnsi="Calibri"/>
          <w:sz w:val="24"/>
          <w:szCs w:val="24"/>
          <w:lang w:val="en" w:eastAsia="en-AU"/>
        </w:rPr>
        <w:t xml:space="preserve">how international animal welfare standards are upheld </w:t>
      </w:r>
    </w:p>
    <w:p w14:paraId="6F32CC95" w14:textId="77777777"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eastAsia="Times New Roman" w:hAnsi="Calibri"/>
          <w:sz w:val="24"/>
          <w:szCs w:val="24"/>
          <w:lang w:val="en" w:eastAsia="en-AU"/>
        </w:rPr>
        <w:t>the extent to which ESCAS provides assurance of control through the supply chain</w:t>
      </w:r>
    </w:p>
    <w:p w14:paraId="0ADF6E3D" w14:textId="77777777"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eastAsia="Times New Roman" w:hAnsi="Calibri"/>
          <w:sz w:val="24"/>
          <w:szCs w:val="24"/>
          <w:lang w:val="en" w:eastAsia="en-AU"/>
        </w:rPr>
        <w:t>the extent to which ESCAS provides assurance of traceability through the supply chain</w:t>
      </w:r>
    </w:p>
    <w:p w14:paraId="3894C23F" w14:textId="77777777" w:rsidR="00EC07EB" w:rsidRPr="00EC07EB" w:rsidRDefault="00EC07EB" w:rsidP="00EC07EB">
      <w:pPr>
        <w:numPr>
          <w:ilvl w:val="0"/>
          <w:numId w:val="18"/>
        </w:numPr>
        <w:spacing w:before="60" w:after="160" w:line="259" w:lineRule="auto"/>
        <w:contextualSpacing/>
        <w:rPr>
          <w:rFonts w:ascii="Calibri" w:eastAsia="Times New Roman" w:hAnsi="Calibri"/>
          <w:sz w:val="24"/>
          <w:szCs w:val="24"/>
          <w:lang w:val="en" w:eastAsia="en-AU"/>
        </w:rPr>
      </w:pPr>
      <w:r w:rsidRPr="00EC07EB">
        <w:rPr>
          <w:rFonts w:ascii="Calibri" w:eastAsia="Times New Roman" w:hAnsi="Calibri"/>
          <w:sz w:val="24"/>
          <w:szCs w:val="24"/>
          <w:lang w:val="en" w:eastAsia="en-AU"/>
        </w:rPr>
        <w:t>if the department provides assurance of compliance with the legislation, standards, policies and procedures for the export of livestock</w:t>
      </w:r>
    </w:p>
    <w:p w14:paraId="3DECCB8B" w14:textId="6B162E16"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Livestock Global Assurance Program (LGAP), Collective Standards for Animal Welfare (CSAW)</w:t>
      </w:r>
      <w:r w:rsidR="00AB22D1">
        <w:rPr>
          <w:rFonts w:ascii="Calibri" w:eastAsia="Times New Roman" w:hAnsi="Calibri"/>
          <w:sz w:val="24"/>
          <w:szCs w:val="24"/>
          <w:lang w:val="en" w:eastAsia="en-AU"/>
        </w:rPr>
        <w:t xml:space="preserve"> </w:t>
      </w:r>
      <w:r w:rsidRPr="00EC07EB">
        <w:rPr>
          <w:rFonts w:ascii="Calibri" w:eastAsia="Times New Roman" w:hAnsi="Calibri"/>
          <w:sz w:val="24"/>
          <w:szCs w:val="24"/>
          <w:lang w:val="en" w:eastAsia="en-AU"/>
        </w:rPr>
        <w:t xml:space="preserve">and other third party assurance systems </w:t>
      </w:r>
    </w:p>
    <w:p w14:paraId="40497979"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the department’s processes for engagement and consultation with industry, government agencies and other</w:t>
      </w:r>
      <w:bookmarkStart w:id="0" w:name="_GoBack"/>
      <w:bookmarkEnd w:id="0"/>
      <w:r w:rsidRPr="00EC07EB">
        <w:rPr>
          <w:rFonts w:ascii="Calibri" w:eastAsia="Times New Roman" w:hAnsi="Calibri"/>
          <w:sz w:val="24"/>
          <w:szCs w:val="24"/>
          <w:lang w:val="en" w:eastAsia="en-AU"/>
        </w:rPr>
        <w:t xml:space="preserve"> stakeholders in managing animal welfare issues</w:t>
      </w:r>
    </w:p>
    <w:p w14:paraId="5DC5F8F6" w14:textId="77777777" w:rsidR="00EC07EB" w:rsidRPr="00EC07EB" w:rsidRDefault="00EC07EB" w:rsidP="00EC07EB">
      <w:pPr>
        <w:numPr>
          <w:ilvl w:val="0"/>
          <w:numId w:val="18"/>
        </w:numPr>
        <w:spacing w:before="60" w:after="160" w:line="259" w:lineRule="auto"/>
        <w:rPr>
          <w:rFonts w:ascii="Calibri" w:eastAsia="Times New Roman" w:hAnsi="Calibri"/>
          <w:sz w:val="24"/>
          <w:szCs w:val="24"/>
          <w:lang w:val="en" w:eastAsia="en-AU"/>
        </w:rPr>
      </w:pPr>
      <w:r w:rsidRPr="00EC07EB">
        <w:rPr>
          <w:rFonts w:ascii="Calibri" w:eastAsia="Times New Roman" w:hAnsi="Calibri"/>
          <w:sz w:val="24"/>
          <w:szCs w:val="24"/>
          <w:lang w:val="en" w:eastAsia="en-AU"/>
        </w:rPr>
        <w:t>ESCAS reporting requirements including the investigation process of reported and unreported incidents</w:t>
      </w:r>
    </w:p>
    <w:p w14:paraId="0EECE5B0" w14:textId="77777777" w:rsidR="00EC07EB" w:rsidRPr="00EC07EB" w:rsidRDefault="00EC07EB" w:rsidP="00EC07EB">
      <w:pPr>
        <w:numPr>
          <w:ilvl w:val="0"/>
          <w:numId w:val="18"/>
        </w:numPr>
        <w:spacing w:before="60" w:after="160" w:line="259" w:lineRule="auto"/>
        <w:rPr>
          <w:rFonts w:ascii="Calibri" w:hAnsi="Calibri"/>
          <w:sz w:val="24"/>
          <w:szCs w:val="24"/>
          <w:lang w:val="en" w:eastAsia="en-AU"/>
        </w:rPr>
      </w:pPr>
      <w:r w:rsidRPr="00EC07EB">
        <w:rPr>
          <w:rFonts w:ascii="Calibri" w:hAnsi="Calibri"/>
          <w:sz w:val="24"/>
          <w:szCs w:val="24"/>
          <w:lang w:val="en" w:eastAsia="en-AU"/>
        </w:rPr>
        <w:lastRenderedPageBreak/>
        <w:t>examine the efficacy, timeliness and transparency in the department’s risk management system, including the extent to which they contribute to strategic risk-based regulatory practice and informing improvements in the management of animal welfare</w:t>
      </w:r>
    </w:p>
    <w:p w14:paraId="31344F21" w14:textId="77777777" w:rsidR="00EC07EB" w:rsidRPr="00EC07EB" w:rsidRDefault="00EC07EB" w:rsidP="00EC07EB">
      <w:pPr>
        <w:numPr>
          <w:ilvl w:val="0"/>
          <w:numId w:val="18"/>
        </w:numPr>
        <w:spacing w:before="60" w:after="160" w:line="259" w:lineRule="auto"/>
        <w:rPr>
          <w:rFonts w:ascii="Calibri" w:hAnsi="Calibri"/>
          <w:sz w:val="24"/>
          <w:szCs w:val="24"/>
          <w:lang w:val="en" w:eastAsia="en-AU"/>
        </w:rPr>
      </w:pPr>
      <w:r w:rsidRPr="00EC07EB">
        <w:rPr>
          <w:rFonts w:ascii="Calibri" w:hAnsi="Calibri"/>
          <w:sz w:val="24"/>
          <w:szCs w:val="24"/>
          <w:lang w:val="en" w:eastAsia="en-AU"/>
        </w:rPr>
        <w:t>the independent auditing process</w:t>
      </w:r>
    </w:p>
    <w:p w14:paraId="3ECC75B0" w14:textId="77777777" w:rsidR="00EC07EB" w:rsidRPr="00EC07EB" w:rsidRDefault="00EC07EB" w:rsidP="00EC07EB">
      <w:pPr>
        <w:numPr>
          <w:ilvl w:val="0"/>
          <w:numId w:val="18"/>
        </w:numPr>
        <w:tabs>
          <w:tab w:val="left" w:pos="1708"/>
        </w:tabs>
        <w:spacing w:before="0" w:after="160" w:line="259" w:lineRule="auto"/>
        <w:rPr>
          <w:rFonts w:ascii="Calibri" w:hAnsi="Calibri"/>
          <w:sz w:val="24"/>
          <w:szCs w:val="24"/>
          <w:lang w:val="en" w:eastAsia="en-AU"/>
        </w:rPr>
      </w:pPr>
      <w:r w:rsidRPr="00EC07EB">
        <w:rPr>
          <w:rFonts w:ascii="Calibri" w:hAnsi="Calibri"/>
          <w:sz w:val="24"/>
          <w:szCs w:val="24"/>
          <w:lang w:val="en" w:eastAsia="en-AU"/>
        </w:rPr>
        <w:t>in-market consultation countries: Middle East (Kuwait, Bahrain, Qatar, Oman, UAE, Israel, and Jordan), Indonesia, South East Asia (Vietnam, Malaysia, Thailand, and Cambodia)</w:t>
      </w:r>
    </w:p>
    <w:p w14:paraId="44CBAC77" w14:textId="3B572A91" w:rsidR="00EC07EB" w:rsidRPr="00EC07EB" w:rsidRDefault="00EA54B7" w:rsidP="00EC07EB">
      <w:pPr>
        <w:numPr>
          <w:ilvl w:val="0"/>
          <w:numId w:val="18"/>
        </w:numPr>
        <w:tabs>
          <w:tab w:val="left" w:pos="1708"/>
        </w:tabs>
        <w:spacing w:before="0" w:after="160" w:line="259" w:lineRule="auto"/>
        <w:rPr>
          <w:rFonts w:ascii="Calibri" w:hAnsi="Calibri"/>
          <w:sz w:val="24"/>
          <w:szCs w:val="24"/>
          <w:lang w:val="en" w:eastAsia="en-AU"/>
        </w:rPr>
      </w:pPr>
      <w:proofErr w:type="gramStart"/>
      <w:r>
        <w:rPr>
          <w:rFonts w:ascii="Calibri" w:hAnsi="Calibri"/>
          <w:sz w:val="24"/>
          <w:szCs w:val="24"/>
          <w:lang w:val="en" w:eastAsia="en-AU"/>
        </w:rPr>
        <w:t>if</w:t>
      </w:r>
      <w:proofErr w:type="gramEnd"/>
      <w:r>
        <w:rPr>
          <w:rFonts w:ascii="Calibri" w:hAnsi="Calibri"/>
          <w:sz w:val="24"/>
          <w:szCs w:val="24"/>
          <w:lang w:val="en" w:eastAsia="en-AU"/>
        </w:rPr>
        <w:t xml:space="preserve"> </w:t>
      </w:r>
      <w:r w:rsidR="00EC07EB" w:rsidRPr="00EC07EB">
        <w:rPr>
          <w:rFonts w:ascii="Calibri" w:hAnsi="Calibri"/>
          <w:sz w:val="24"/>
          <w:szCs w:val="24"/>
          <w:lang w:val="en" w:eastAsia="en-AU"/>
        </w:rPr>
        <w:t xml:space="preserve">departmental work instructions are current and relevant. </w:t>
      </w:r>
    </w:p>
    <w:p w14:paraId="54A42EAA" w14:textId="77777777" w:rsidR="00EC07EB" w:rsidRPr="00EC07EB" w:rsidRDefault="00EC07EB" w:rsidP="00E86C51">
      <w:pPr>
        <w:pStyle w:val="Heading2"/>
        <w:rPr>
          <w:sz w:val="24"/>
          <w:szCs w:val="24"/>
        </w:rPr>
      </w:pPr>
      <w:r w:rsidRPr="00EC07EB">
        <w:t>Out of scope</w:t>
      </w:r>
    </w:p>
    <w:p w14:paraId="399F1D01" w14:textId="77777777" w:rsidR="00EC07EB" w:rsidRPr="00EC07EB" w:rsidRDefault="00EC07EB" w:rsidP="00EC07EB">
      <w:pPr>
        <w:widowControl w:val="0"/>
        <w:spacing w:before="0" w:after="120"/>
        <w:rPr>
          <w:rFonts w:ascii="Calibri" w:eastAsia="Times New Roman" w:hAnsi="Calibri"/>
          <w:sz w:val="24"/>
          <w:szCs w:val="24"/>
          <w:lang w:eastAsia="en-AU"/>
        </w:rPr>
      </w:pPr>
      <w:r w:rsidRPr="00EC07EB">
        <w:rPr>
          <w:rFonts w:ascii="Calibri" w:eastAsia="Times New Roman" w:hAnsi="Calibri"/>
          <w:sz w:val="24"/>
          <w:szCs w:val="24"/>
          <w:lang w:eastAsia="en-AU"/>
        </w:rPr>
        <w:t>This review will not examine:</w:t>
      </w:r>
    </w:p>
    <w:p w14:paraId="282882C3"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hAnsi="Calibri"/>
          <w:sz w:val="24"/>
          <w:szCs w:val="24"/>
          <w:lang w:val="en" w:eastAsia="en-AU"/>
        </w:rPr>
        <w:t>supply chain elements related to the Australian Standards for the Export of Livestock (</w:t>
      </w:r>
      <w:r w:rsidRPr="00EC07EB">
        <w:rPr>
          <w:rFonts w:ascii="Calibri" w:eastAsia="Times New Roman" w:hAnsi="Calibri"/>
          <w:sz w:val="24"/>
          <w:szCs w:val="24"/>
          <w:lang w:val="en" w:eastAsia="en-AU"/>
        </w:rPr>
        <w:t>ASEL)</w:t>
      </w:r>
    </w:p>
    <w:p w14:paraId="352D2CAF" w14:textId="77777777" w:rsidR="00EC07EB" w:rsidRPr="00EC07EB" w:rsidRDefault="00EC07EB" w:rsidP="00EC07EB">
      <w:pPr>
        <w:numPr>
          <w:ilvl w:val="0"/>
          <w:numId w:val="18"/>
        </w:numPr>
        <w:spacing w:before="60" w:after="160" w:line="259" w:lineRule="auto"/>
        <w:ind w:left="357" w:hanging="357"/>
        <w:rPr>
          <w:rFonts w:ascii="Calibri" w:hAnsi="Calibri"/>
          <w:sz w:val="24"/>
          <w:lang w:val="en" w:eastAsia="en-AU"/>
        </w:rPr>
      </w:pPr>
      <w:r w:rsidRPr="00EC07EB">
        <w:rPr>
          <w:rFonts w:ascii="Calibri" w:eastAsia="Times New Roman" w:hAnsi="Calibri"/>
          <w:sz w:val="24"/>
          <w:szCs w:val="24"/>
          <w:lang w:val="en" w:eastAsia="en-AU"/>
        </w:rPr>
        <w:t xml:space="preserve">livestock other than sheep, goats, cattle (feeder and slaughter), buffalo, deer and camelids </w:t>
      </w:r>
    </w:p>
    <w:p w14:paraId="2118181B"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the livestock exporter’s approved arrangement</w:t>
      </w:r>
    </w:p>
    <w:p w14:paraId="3461982E"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the granting of export licenses, permits and health certificates</w:t>
      </w:r>
    </w:p>
    <w:p w14:paraId="1F17E46B"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 xml:space="preserve">cost-recovery charges </w:t>
      </w:r>
    </w:p>
    <w:p w14:paraId="72A2B030"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hAnsi="Calibri"/>
          <w:sz w:val="24"/>
          <w:szCs w:val="24"/>
          <w:lang w:val="en" w:eastAsia="en-AU"/>
        </w:rPr>
        <w:t xml:space="preserve">importing country requirements </w:t>
      </w:r>
    </w:p>
    <w:p w14:paraId="5E56635C" w14:textId="77777777" w:rsidR="00EC07EB" w:rsidRPr="00EC07EB" w:rsidRDefault="00EC07EB" w:rsidP="00EC07EB">
      <w:pPr>
        <w:numPr>
          <w:ilvl w:val="0"/>
          <w:numId w:val="18"/>
        </w:numPr>
        <w:spacing w:before="60" w:after="160" w:line="259" w:lineRule="auto"/>
        <w:ind w:left="357" w:hanging="357"/>
        <w:rPr>
          <w:rFonts w:ascii="Calibri" w:eastAsia="Times New Roman" w:hAnsi="Calibri"/>
          <w:sz w:val="24"/>
          <w:szCs w:val="24"/>
          <w:lang w:val="en" w:eastAsia="en-AU"/>
        </w:rPr>
      </w:pPr>
      <w:r w:rsidRPr="00EC07EB">
        <w:rPr>
          <w:rFonts w:ascii="Calibri" w:eastAsia="Times New Roman" w:hAnsi="Calibri"/>
          <w:sz w:val="24"/>
          <w:szCs w:val="24"/>
          <w:lang w:val="en" w:eastAsia="en-AU"/>
        </w:rPr>
        <w:t>the former Livestock Export Accreditation Program</w:t>
      </w:r>
    </w:p>
    <w:p w14:paraId="332E9B63" w14:textId="77777777" w:rsidR="00EC07EB" w:rsidRPr="00EC07EB" w:rsidRDefault="00EC07EB" w:rsidP="00EC07EB">
      <w:pPr>
        <w:numPr>
          <w:ilvl w:val="0"/>
          <w:numId w:val="18"/>
        </w:numPr>
        <w:spacing w:before="60" w:after="160" w:line="259" w:lineRule="auto"/>
        <w:ind w:left="357" w:hanging="357"/>
        <w:rPr>
          <w:rFonts w:ascii="Calibri" w:hAnsi="Calibri"/>
          <w:sz w:val="24"/>
          <w:lang w:val="en" w:eastAsia="en-AU"/>
        </w:rPr>
      </w:pPr>
      <w:r w:rsidRPr="00EC07EB">
        <w:rPr>
          <w:rFonts w:ascii="Calibri" w:eastAsia="Times New Roman" w:hAnsi="Calibri"/>
          <w:sz w:val="24"/>
          <w:szCs w:val="24"/>
          <w:lang w:val="en" w:eastAsia="en-AU"/>
        </w:rPr>
        <w:t>mixture of ESCAS and non-ESCAS livestock being processed in the one facility</w:t>
      </w:r>
    </w:p>
    <w:p w14:paraId="1A1FC7B3" w14:textId="77777777" w:rsidR="0042361F" w:rsidRPr="00D73D50" w:rsidRDefault="0042361F" w:rsidP="00E86C51">
      <w:pPr>
        <w:pStyle w:val="Heading2"/>
      </w:pPr>
      <w:r w:rsidRPr="00D73D50">
        <w:t>Preparing your submission</w:t>
      </w:r>
    </w:p>
    <w:p w14:paraId="503CDC71" w14:textId="262959A1" w:rsidR="0042361F" w:rsidRPr="00D73D50" w:rsidRDefault="0042361F" w:rsidP="0042361F">
      <w:pPr>
        <w:rPr>
          <w:rFonts w:asciiTheme="minorHAnsi" w:hAnsiTheme="minorHAnsi"/>
          <w:sz w:val="24"/>
          <w:szCs w:val="24"/>
          <w:lang w:eastAsia="ja-JP"/>
        </w:rPr>
      </w:pPr>
      <w:r w:rsidRPr="00D73D50">
        <w:rPr>
          <w:rFonts w:asciiTheme="minorHAnsi" w:hAnsiTheme="minorHAnsi"/>
          <w:sz w:val="24"/>
          <w:szCs w:val="24"/>
          <w:lang w:eastAsia="ja-JP"/>
        </w:rPr>
        <w:t>Prior to making a submission it is recommended that you consider the scope of the review above</w:t>
      </w:r>
      <w:r w:rsidR="00E14E73" w:rsidRPr="00D73D50">
        <w:rPr>
          <w:rFonts w:asciiTheme="minorHAnsi" w:hAnsiTheme="minorHAnsi"/>
          <w:sz w:val="24"/>
          <w:szCs w:val="24"/>
          <w:lang w:eastAsia="ja-JP"/>
        </w:rPr>
        <w:t>;</w:t>
      </w:r>
      <w:r w:rsidRPr="00D73D50">
        <w:rPr>
          <w:rFonts w:asciiTheme="minorHAnsi" w:hAnsiTheme="minorHAnsi"/>
          <w:sz w:val="24"/>
          <w:szCs w:val="24"/>
          <w:lang w:eastAsia="ja-JP"/>
        </w:rPr>
        <w:t xml:space="preserve"> submissions that address topics outside of the scope may not be considered further.</w:t>
      </w:r>
    </w:p>
    <w:p w14:paraId="49E1C0A7" w14:textId="01FCE69E" w:rsidR="007E07C8" w:rsidRDefault="0042361F" w:rsidP="0042361F">
      <w:pPr>
        <w:rPr>
          <w:lang w:eastAsia="ja-JP"/>
        </w:rPr>
      </w:pPr>
      <w:r w:rsidRPr="00D73D50">
        <w:rPr>
          <w:rFonts w:asciiTheme="minorHAnsi" w:hAnsiTheme="minorHAnsi"/>
          <w:sz w:val="24"/>
          <w:szCs w:val="24"/>
          <w:lang w:eastAsia="ja-JP"/>
        </w:rPr>
        <w:t xml:space="preserve">When making a submission, the inclusion of specific examples or data, where possible, </w:t>
      </w:r>
      <w:r w:rsidR="00253760" w:rsidRPr="00D73D50">
        <w:rPr>
          <w:rFonts w:asciiTheme="minorHAnsi" w:hAnsiTheme="minorHAnsi"/>
          <w:sz w:val="24"/>
          <w:szCs w:val="24"/>
          <w:lang w:eastAsia="ja-JP"/>
        </w:rPr>
        <w:t xml:space="preserve">will </w:t>
      </w:r>
      <w:r w:rsidRPr="00D73D50">
        <w:rPr>
          <w:rFonts w:asciiTheme="minorHAnsi" w:hAnsiTheme="minorHAnsi"/>
          <w:sz w:val="24"/>
          <w:szCs w:val="24"/>
          <w:lang w:eastAsia="ja-JP"/>
        </w:rPr>
        <w:t>assist the Inspector-General.</w:t>
      </w:r>
      <w:r w:rsidR="00253760" w:rsidRPr="00D73D50">
        <w:rPr>
          <w:rFonts w:asciiTheme="minorHAnsi" w:hAnsiTheme="minorHAnsi"/>
          <w:sz w:val="24"/>
          <w:szCs w:val="24"/>
          <w:lang w:eastAsia="ja-JP"/>
        </w:rPr>
        <w:t xml:space="preserve"> </w:t>
      </w:r>
      <w:r w:rsidRPr="00D73D50">
        <w:rPr>
          <w:rFonts w:asciiTheme="minorHAnsi" w:hAnsiTheme="minorHAnsi"/>
          <w:sz w:val="24"/>
          <w:szCs w:val="24"/>
          <w:lang w:eastAsia="ja-JP"/>
        </w:rPr>
        <w:t xml:space="preserve"> Submissions are not required to meet a defined format or length but you should include a summary of your key comments if the submission is greater than three pages.</w:t>
      </w:r>
    </w:p>
    <w:p w14:paraId="11C98A39" w14:textId="527A8D19" w:rsidR="009D16C7" w:rsidRPr="00D73D50" w:rsidRDefault="009D16C7" w:rsidP="00E86C51">
      <w:pPr>
        <w:pStyle w:val="Heading2"/>
      </w:pPr>
      <w:r w:rsidRPr="00D73D50">
        <w:t>Contact</w:t>
      </w:r>
    </w:p>
    <w:p w14:paraId="7BC8693F" w14:textId="22ADE2EA" w:rsidR="009D16C7" w:rsidRPr="00D73D50" w:rsidRDefault="009D16C7" w:rsidP="007C5B5C">
      <w:pPr>
        <w:rPr>
          <w:rFonts w:asciiTheme="minorHAnsi" w:hAnsiTheme="minorHAnsi"/>
          <w:sz w:val="24"/>
          <w:szCs w:val="24"/>
          <w:lang w:eastAsia="ja-JP"/>
        </w:rPr>
      </w:pPr>
      <w:r w:rsidRPr="00D73D50">
        <w:rPr>
          <w:rFonts w:asciiTheme="minorHAnsi" w:hAnsiTheme="minorHAnsi"/>
          <w:sz w:val="24"/>
          <w:szCs w:val="24"/>
          <w:lang w:eastAsia="ja-JP"/>
        </w:rPr>
        <w:t xml:space="preserve">If you wish to discuss this review or how to make a submission you can contact </w:t>
      </w:r>
      <w:hyperlink r:id="rId7" w:history="1">
        <w:r w:rsidRPr="00D73D50">
          <w:rPr>
            <w:rStyle w:val="Hyperlink"/>
            <w:rFonts w:asciiTheme="minorHAnsi" w:hAnsiTheme="minorHAnsi"/>
            <w:sz w:val="24"/>
            <w:szCs w:val="24"/>
            <w:lang w:eastAsia="ja-JP"/>
          </w:rPr>
          <w:t>iglae@agriculture.gov.au</w:t>
        </w:r>
      </w:hyperlink>
      <w:r w:rsidRPr="00D73D50">
        <w:rPr>
          <w:rFonts w:asciiTheme="minorHAnsi" w:hAnsiTheme="minorHAnsi"/>
          <w:sz w:val="24"/>
          <w:szCs w:val="24"/>
          <w:lang w:eastAsia="ja-JP"/>
        </w:rPr>
        <w:t xml:space="preserve"> or call + 61 2 6271 6361</w:t>
      </w:r>
    </w:p>
    <w:p w14:paraId="03E6F929" w14:textId="77777777" w:rsidR="009D16C7" w:rsidRDefault="009D16C7" w:rsidP="007C5B5C">
      <w:pPr>
        <w:rPr>
          <w:lang w:eastAsia="ja-JP"/>
        </w:rPr>
      </w:pPr>
    </w:p>
    <w:p w14:paraId="6349F39B" w14:textId="77777777" w:rsidR="009D16C7" w:rsidRDefault="009D16C7" w:rsidP="007C5B5C">
      <w:pPr>
        <w:rPr>
          <w:lang w:eastAsia="ja-JP"/>
        </w:rPr>
      </w:pPr>
    </w:p>
    <w:sectPr w:rsidR="009D16C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75BF6" w14:textId="77777777" w:rsidR="007E07C8" w:rsidRDefault="007E07C8">
      <w:r>
        <w:separator/>
      </w:r>
    </w:p>
  </w:endnote>
  <w:endnote w:type="continuationSeparator" w:id="0">
    <w:p w14:paraId="5B2E420D" w14:textId="77777777" w:rsidR="007E07C8" w:rsidRDefault="007E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262646"/>
      <w:docPartObj>
        <w:docPartGallery w:val="Page Numbers (Bottom of Page)"/>
        <w:docPartUnique/>
      </w:docPartObj>
    </w:sdtPr>
    <w:sdtEndPr>
      <w:rPr>
        <w:noProof/>
      </w:rPr>
    </w:sdtEndPr>
    <w:sdtContent>
      <w:p w14:paraId="4877BE84" w14:textId="75F4D713" w:rsidR="00C6669A" w:rsidRDefault="00E14E73" w:rsidP="00C6669A">
        <w:pPr>
          <w:pStyle w:val="Footer"/>
          <w:jc w:val="right"/>
        </w:pPr>
        <w:r>
          <w:t>Inspector-General of Live Animal Exports</w:t>
        </w:r>
        <w:r w:rsidR="00C6669A">
          <w:tab/>
        </w:r>
        <w:r w:rsidR="00C6669A">
          <w:fldChar w:fldCharType="begin"/>
        </w:r>
        <w:r w:rsidR="00C6669A">
          <w:instrText xml:space="preserve"> PAGE   \* MERGEFORMAT </w:instrText>
        </w:r>
        <w:r w:rsidR="00C6669A">
          <w:fldChar w:fldCharType="separate"/>
        </w:r>
        <w:r w:rsidR="00684D82">
          <w:rPr>
            <w:noProof/>
          </w:rPr>
          <w:t>2</w:t>
        </w:r>
        <w:r w:rsidR="00C6669A">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A8D83" w14:textId="77777777" w:rsidR="007E07C8" w:rsidRDefault="007E07C8">
      <w:r>
        <w:separator/>
      </w:r>
    </w:p>
  </w:footnote>
  <w:footnote w:type="continuationSeparator" w:id="0">
    <w:p w14:paraId="729D6B2A" w14:textId="77777777" w:rsidR="007E07C8" w:rsidRDefault="007E0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4E2512"/>
    <w:multiLevelType w:val="hybridMultilevel"/>
    <w:tmpl w:val="4D04F02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6C70A2"/>
    <w:multiLevelType w:val="hybridMultilevel"/>
    <w:tmpl w:val="A4E46A2C"/>
    <w:lvl w:ilvl="0" w:tplc="3494861A">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8576EE"/>
    <w:multiLevelType w:val="hybridMultilevel"/>
    <w:tmpl w:val="B324F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2A913599"/>
    <w:multiLevelType w:val="multilevel"/>
    <w:tmpl w:val="02AA8FA0"/>
    <w:numStyleLink w:val="ListBullets"/>
  </w:abstractNum>
  <w:abstractNum w:abstractNumId="12" w15:restartNumberingAfterBreak="0">
    <w:nsid w:val="2F2425AB"/>
    <w:multiLevelType w:val="multilevel"/>
    <w:tmpl w:val="BC8603C0"/>
    <w:numStyleLink w:val="ListNumbers"/>
  </w:abstractNum>
  <w:abstractNum w:abstractNumId="13" w15:restartNumberingAfterBreak="0">
    <w:nsid w:val="3D6F1CC8"/>
    <w:multiLevelType w:val="hybridMultilevel"/>
    <w:tmpl w:val="1934576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6DD5C12"/>
    <w:multiLevelType w:val="multilevel"/>
    <w:tmpl w:val="20F2356A"/>
    <w:numStyleLink w:val="Appendix"/>
  </w:abstractNum>
  <w:abstractNum w:abstractNumId="15"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7" w15:restartNumberingAfterBreak="0">
    <w:nsid w:val="5BF51EC7"/>
    <w:multiLevelType w:val="multilevel"/>
    <w:tmpl w:val="23E2163A"/>
    <w:styleLink w:val="Headings"/>
    <w:lvl w:ilvl="0">
      <w:start w:val="1"/>
      <w:numFmt w:val="decimal"/>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5"/>
  </w:num>
  <w:num w:numId="3">
    <w:abstractNumId w:val="8"/>
  </w:num>
  <w:num w:numId="4">
    <w:abstractNumId w:val="9"/>
  </w:num>
  <w:num w:numId="5">
    <w:abstractNumId w:val="3"/>
  </w:num>
  <w:num w:numId="6">
    <w:abstractNumId w:val="11"/>
  </w:num>
  <w:num w:numId="7">
    <w:abstractNumId w:val="19"/>
  </w:num>
  <w:num w:numId="8">
    <w:abstractNumId w:val="12"/>
  </w:num>
  <w:num w:numId="9">
    <w:abstractNumId w:val="17"/>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8"/>
  </w:num>
  <w:num w:numId="14">
    <w:abstractNumId w:val="2"/>
  </w:num>
  <w:num w:numId="15">
    <w:abstractNumId w:val="1"/>
  </w:num>
  <w:num w:numId="16">
    <w:abstractNumId w:val="0"/>
  </w:num>
  <w:num w:numId="17">
    <w:abstractNumId w:val="4"/>
  </w:num>
  <w:num w:numId="18">
    <w:abstractNumId w:val="13"/>
  </w:num>
  <w:num w:numId="19">
    <w:abstractNumId w:val="5"/>
  </w:num>
  <w:num w:numId="20">
    <w:abstractNumId w:val="7"/>
  </w:num>
  <w:num w:numId="2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C8"/>
    <w:rsid w:val="000E778D"/>
    <w:rsid w:val="001A26E7"/>
    <w:rsid w:val="00216B07"/>
    <w:rsid w:val="00253760"/>
    <w:rsid w:val="002540AE"/>
    <w:rsid w:val="002D55DF"/>
    <w:rsid w:val="00373A62"/>
    <w:rsid w:val="0042361F"/>
    <w:rsid w:val="0044385C"/>
    <w:rsid w:val="00461807"/>
    <w:rsid w:val="00476877"/>
    <w:rsid w:val="0054747E"/>
    <w:rsid w:val="0056564E"/>
    <w:rsid w:val="005C1B9E"/>
    <w:rsid w:val="006047C9"/>
    <w:rsid w:val="00626E31"/>
    <w:rsid w:val="00684D82"/>
    <w:rsid w:val="00775F70"/>
    <w:rsid w:val="007C5B5C"/>
    <w:rsid w:val="007E07C8"/>
    <w:rsid w:val="00833ECD"/>
    <w:rsid w:val="008730E3"/>
    <w:rsid w:val="008C50F6"/>
    <w:rsid w:val="00905F94"/>
    <w:rsid w:val="00976DE7"/>
    <w:rsid w:val="009B1F58"/>
    <w:rsid w:val="009C22D9"/>
    <w:rsid w:val="009D16C7"/>
    <w:rsid w:val="009D18F6"/>
    <w:rsid w:val="00A07095"/>
    <w:rsid w:val="00A71890"/>
    <w:rsid w:val="00A93C5A"/>
    <w:rsid w:val="00AA4B88"/>
    <w:rsid w:val="00AB22D1"/>
    <w:rsid w:val="00AC436C"/>
    <w:rsid w:val="00AE70EE"/>
    <w:rsid w:val="00AF1AF9"/>
    <w:rsid w:val="00B12508"/>
    <w:rsid w:val="00B16495"/>
    <w:rsid w:val="00B50282"/>
    <w:rsid w:val="00B52516"/>
    <w:rsid w:val="00B57188"/>
    <w:rsid w:val="00B62240"/>
    <w:rsid w:val="00B86EB6"/>
    <w:rsid w:val="00BA69FC"/>
    <w:rsid w:val="00C21561"/>
    <w:rsid w:val="00C6669A"/>
    <w:rsid w:val="00CE1AB8"/>
    <w:rsid w:val="00D73D50"/>
    <w:rsid w:val="00E14E73"/>
    <w:rsid w:val="00E3214D"/>
    <w:rsid w:val="00E86C51"/>
    <w:rsid w:val="00EA54B7"/>
    <w:rsid w:val="00EC07EB"/>
    <w:rsid w:val="00F33C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051C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pPr>
    <w:rPr>
      <w:sz w:val="22"/>
      <w:szCs w:val="22"/>
      <w:lang w:eastAsia="en-US"/>
    </w:rPr>
  </w:style>
  <w:style w:type="paragraph" w:styleId="Heading1">
    <w:name w:val="heading 1"/>
    <w:basedOn w:val="Heading4"/>
    <w:next w:val="Normal"/>
    <w:link w:val="Heading1Char"/>
    <w:uiPriority w:val="1"/>
    <w:qFormat/>
    <w:rsid w:val="00E86C51"/>
    <w:pPr>
      <w:outlineLvl w:val="0"/>
    </w:pPr>
    <w:rPr>
      <w:sz w:val="32"/>
      <w:szCs w:val="32"/>
    </w:rPr>
  </w:style>
  <w:style w:type="paragraph" w:styleId="Heading2">
    <w:name w:val="heading 2"/>
    <w:basedOn w:val="Heading4"/>
    <w:next w:val="Normal"/>
    <w:link w:val="Heading2Char"/>
    <w:uiPriority w:val="3"/>
    <w:qFormat/>
    <w:rsid w:val="00E86C51"/>
    <w:pPr>
      <w:outlineLvl w:val="1"/>
    </w:pPr>
    <w:rPr>
      <w:rFonts w:eastAsia="Times New Roman"/>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sid w:val="00E86C51"/>
    <w:rPr>
      <w:rFonts w:eastAsiaTheme="minorEastAsia" w:cstheme="minorBidi"/>
      <w:b/>
      <w:sz w:val="32"/>
      <w:szCs w:val="32"/>
      <w:lang w:eastAsia="ja-JP"/>
    </w:rPr>
  </w:style>
  <w:style w:type="character" w:customStyle="1" w:styleId="Heading2Char">
    <w:name w:val="Heading 2 Char"/>
    <w:basedOn w:val="DefaultParagraphFont"/>
    <w:link w:val="Heading2"/>
    <w:uiPriority w:val="3"/>
    <w:rsid w:val="00E86C51"/>
    <w:rPr>
      <w:rFonts w:eastAsia="Times New Roman" w:cstheme="minorBidi"/>
      <w:b/>
      <w:sz w:val="28"/>
      <w:szCs w:val="22"/>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glae@agriculture.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Exporter Supply Chain Assurance System (</vt:lpstr>
    </vt:vector>
  </TitlesOfParts>
  <Manager/>
  <Company/>
  <LinksUpToDate>false</LinksUpToDate>
  <CharactersWithSpaces>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Exporter Supply Chain Assurance System (</dc:title>
  <dc:subject>
  </dc:subject>
  <dc:creator/>
  <cp:keywords>
  </cp:keywords>
  <dc:description>
  </dc:description>
  <cp:lastModifiedBy/>
  <cp:revision>1</cp:revision>
  <cp:lastPrinted>2019-07-23T00:35:00Z</cp:lastPrinted>
  <dcterms:created xsi:type="dcterms:W3CDTF">2020-03-26T00:23:00Z</dcterms:created>
  <dcterms:modified xsi:type="dcterms:W3CDTF">2020-03-29T23:29:00Z</dcterms:modified>
</cp:coreProperties>
</file>